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94B0C" w14:textId="77777777" w:rsidR="000E7E45" w:rsidRDefault="007051EC" w:rsidP="007051EC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</w:t>
      </w:r>
    </w:p>
    <w:p w14:paraId="4780CE6C" w14:textId="77777777" w:rsidR="007051EC" w:rsidRDefault="000E7E45" w:rsidP="007051EC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</w:t>
      </w:r>
      <w:r w:rsidR="007051E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ROMÂNIA  </w:t>
      </w:r>
    </w:p>
    <w:p w14:paraId="337BCE84" w14:textId="77777777" w:rsidR="007051EC" w:rsidRDefault="007051EC" w:rsidP="007051EC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2FAE6A28" w14:textId="77777777" w:rsidR="007051EC" w:rsidRDefault="007051EC" w:rsidP="007051EC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512B4FF4" w14:textId="77777777" w:rsidR="007051EC" w:rsidRDefault="007051EC" w:rsidP="007051EC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PĂTÂRLAGELE</w:t>
      </w:r>
    </w:p>
    <w:p w14:paraId="05A7322A" w14:textId="77777777" w:rsidR="007051EC" w:rsidRDefault="007051EC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</w:p>
    <w:p w14:paraId="7A3C25A9" w14:textId="77777777" w:rsidR="007051EC" w:rsidRDefault="007051EC" w:rsidP="007051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707DAB45" w14:textId="77777777" w:rsidR="007051EC" w:rsidRDefault="007051EC" w:rsidP="007051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PROIECT   DE   HOTĂRÂRE</w:t>
      </w:r>
    </w:p>
    <w:p w14:paraId="20205F0B" w14:textId="77777777" w:rsidR="007051EC" w:rsidRDefault="007051EC" w:rsidP="007051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privind scoaterea la licitaţie publică, în vederea  închirierii, un</w:t>
      </w:r>
      <w:r w:rsidR="00F8722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 spaţii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situat</w:t>
      </w:r>
      <w:r w:rsidR="00F8722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în  incinta  Policlinicii  din oraşul Pătârlagele </w:t>
      </w:r>
    </w:p>
    <w:p w14:paraId="14EAEEE8" w14:textId="77777777" w:rsidR="007051EC" w:rsidRDefault="007051EC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3DBFFD1" w14:textId="77777777" w:rsidR="007051EC" w:rsidRDefault="007051EC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9F1BDFA" w14:textId="77777777" w:rsidR="007051EC" w:rsidRDefault="007051EC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Consiliul local al oraşului Pătârlagele,  judeţul Buzău , întrunit în şedinţă ordinară,</w:t>
      </w:r>
    </w:p>
    <w:p w14:paraId="4A1223D8" w14:textId="77777777" w:rsidR="007051EC" w:rsidRDefault="007051EC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34F5F168" w14:textId="0436BBE1" w:rsidR="007051EC" w:rsidRDefault="007051EC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 </w:t>
      </w:r>
      <w:r w:rsidR="00E46B6B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oraşului Pătârlagele, judeţul Buzău, înregistrat</w:t>
      </w:r>
      <w:r w:rsidR="00A6444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nr.</w:t>
      </w:r>
      <w:r w:rsid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 w:rsidR="00B70FBD">
        <w:rPr>
          <w:rFonts w:ascii="Bookman Old Style" w:eastAsia="Times New Roman" w:hAnsi="Bookman Old Style" w:cs="Times New Roman"/>
          <w:sz w:val="24"/>
          <w:szCs w:val="24"/>
          <w:lang w:val="ro-RO"/>
        </w:rPr>
        <w:t>5110 / 14.06.2024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5A3AF7C0" w14:textId="783D7B87" w:rsidR="007051EC" w:rsidRDefault="007051EC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   raportul compartimentului de specialitate, înregistrat la nr.</w:t>
      </w:r>
      <w:r w:rsid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70FBD">
        <w:rPr>
          <w:rFonts w:ascii="Bookman Old Style" w:eastAsia="Times New Roman" w:hAnsi="Bookman Old Style" w:cs="Times New Roman"/>
          <w:sz w:val="24"/>
          <w:szCs w:val="24"/>
          <w:lang w:val="ro-RO"/>
        </w:rPr>
        <w:t>5111 / 14.06.2024</w:t>
      </w:r>
      <w:r w:rsid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1449898" w14:textId="225A290D" w:rsidR="00A64442" w:rsidRDefault="00A64442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</w:t>
      </w:r>
      <w:r w:rsidR="00BA10A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cererea</w:t>
      </w:r>
      <w:r w:rsidR="00197D0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d- lui Paul Costache – administrator </w:t>
      </w:r>
      <w:r w:rsidR="00BA10A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al </w:t>
      </w:r>
      <w:r w:rsidR="00BD24E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97D0B">
        <w:rPr>
          <w:rFonts w:ascii="Bookman Old Style" w:eastAsia="Times New Roman" w:hAnsi="Bookman Old Style" w:cs="Times New Roman"/>
          <w:sz w:val="24"/>
          <w:szCs w:val="24"/>
          <w:lang w:val="ro-RO"/>
        </w:rPr>
        <w:t>SC CENTRUL MEDICAL  MEDINVEST  SRL</w:t>
      </w:r>
      <w:r w:rsidR="00197D0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înregistrată sub nr. 3452 / 22.04.2024</w:t>
      </w:r>
      <w:r w:rsidR="00BA10A5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33F59D8" w14:textId="37E3B73A" w:rsidR="007051EC" w:rsidRDefault="007051EC" w:rsidP="00266885">
      <w:pPr>
        <w:spacing w:after="0"/>
        <w:ind w:right="72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BA10A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Hotărârii Consiliului Local nr.60/2007 privind completarea inventarului bunurilor care aparţin  domeniului</w:t>
      </w:r>
      <w:r w:rsidR="00E44BA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public al oraşului Pătârlagele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 cu modificările şi completările ulterioare ;</w:t>
      </w:r>
    </w:p>
    <w:p w14:paraId="506665D2" w14:textId="6DE94E80" w:rsidR="007051EC" w:rsidRPr="007051EC" w:rsidRDefault="007051EC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7051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prevederile art. 858</w:t>
      </w:r>
      <w:r w:rsid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7051EC">
        <w:rPr>
          <w:rFonts w:ascii="Bookman Old Style" w:eastAsia="Times New Roman" w:hAnsi="Bookman Old Style" w:cs="Times New Roman"/>
          <w:sz w:val="24"/>
          <w:szCs w:val="24"/>
          <w:lang w:val="ro-RO"/>
        </w:rPr>
        <w:t>-</w:t>
      </w:r>
      <w:r w:rsidR="00F1374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 </w:t>
      </w:r>
      <w:r w:rsidR="00E46B6B">
        <w:rPr>
          <w:rFonts w:ascii="Bookman Old Style" w:eastAsia="Times New Roman" w:hAnsi="Bookman Old Style" w:cs="Times New Roman"/>
          <w:sz w:val="24"/>
          <w:szCs w:val="24"/>
          <w:lang w:val="ro-RO"/>
        </w:rPr>
        <w:t>865</w:t>
      </w:r>
      <w:r w:rsidR="00F13748">
        <w:rPr>
          <w:rFonts w:ascii="Bookman Old Style" w:eastAsia="Times New Roman" w:hAnsi="Bookman Old Style" w:cs="Times New Roman"/>
          <w:sz w:val="24"/>
          <w:szCs w:val="24"/>
          <w:lang w:val="ro-RO"/>
        </w:rPr>
        <w:t>, art. 1777-</w:t>
      </w:r>
      <w:r w:rsidRPr="007051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44BA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art.1823 </w:t>
      </w:r>
      <w:r w:rsidRPr="007051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din Legea nr. 287/2009 privind Codul Civil, republicată, cu modificările </w:t>
      </w:r>
      <w:r w:rsidRPr="007051E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7051EC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7051E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7051EC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ulterioare;</w:t>
      </w:r>
    </w:p>
    <w:p w14:paraId="035D0588" w14:textId="1AD4ECC9" w:rsidR="00E46B6B" w:rsidRPr="004C5D1F" w:rsidRDefault="00E46B6B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art.96, art.129 alin</w:t>
      </w:r>
      <w:r w:rsidR="00786BEB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.(2) lit. ”c”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, alin.(6) lit. ”a</w:t>
      </w:r>
      <w:r w:rsidR="00786BEB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”, art.286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art.287, </w:t>
      </w:r>
      <w:r w:rsidR="00786BEB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art.332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– art.3</w:t>
      </w:r>
      <w:r w:rsidR="00786BEB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48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, din Ordonan</w:t>
      </w:r>
      <w:r w:rsidRPr="004C5D1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C5D1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C5D1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nr. 57/2019 privind Codul Administrativ</w:t>
      </w:r>
      <w:r w:rsidR="004C5D1F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cu modificările </w:t>
      </w:r>
      <w:r w:rsidR="004C5D1F" w:rsidRPr="004C5D1F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4C5D1F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4C5D1F" w:rsidRPr="004C5D1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4C5D1F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2A9D686" w14:textId="255F67CF" w:rsidR="00786BEB" w:rsidRPr="004C5D1F" w:rsidRDefault="00E46B6B" w:rsidP="00786BE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alin.(3), lit.”g” din Ordonan</w:t>
      </w:r>
      <w:r w:rsidRPr="004C5D1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C5D1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C5D1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4C5D1F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4C5D1F" w:rsidRPr="004C5D1F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4C5D1F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4C5D1F" w:rsidRPr="004C5D1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4C5D1F"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</w:t>
      </w:r>
      <w:r w:rsidRP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68979B48" w14:textId="77777777" w:rsidR="00266885" w:rsidRDefault="00266885" w:rsidP="00786BE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B2D19BC" w14:textId="77777777" w:rsidR="007051EC" w:rsidRDefault="007051EC" w:rsidP="007051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2C410F73" w14:textId="77777777" w:rsidR="007051EC" w:rsidRDefault="007051EC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6FA738F" w14:textId="05398065" w:rsidR="000E7E45" w:rsidRPr="005116E8" w:rsidRDefault="007051EC" w:rsidP="00266885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  <w:r w:rsidR="0011368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</w:t>
      </w:r>
      <w:r w:rsidR="00F34CC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1.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 scoaterea la licitatie publică, în vederea </w:t>
      </w:r>
      <w:r w:rsidR="00786BEB"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închirierii </w:t>
      </w:r>
      <w:r w:rsidR="00751AB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următoarelor </w:t>
      </w:r>
      <w:r w:rsid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77288"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>spa</w:t>
      </w:r>
      <w:r w:rsidR="00D77288" w:rsidRPr="005116E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D77288"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>i</w:t>
      </w:r>
      <w:r w:rsidR="00751AB4">
        <w:rPr>
          <w:rFonts w:ascii="Bookman Old Style" w:eastAsia="Times New Roman" w:hAnsi="Bookman Old Style" w:cs="Times New Roman"/>
          <w:sz w:val="24"/>
          <w:szCs w:val="24"/>
          <w:lang w:val="ro-RO"/>
        </w:rPr>
        <w:t>i</w:t>
      </w:r>
      <w:r w:rsidR="00D77288"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>situat</w:t>
      </w:r>
      <w:r w:rsidR="00751AB4">
        <w:rPr>
          <w:rFonts w:ascii="Bookman Old Style" w:eastAsia="Times New Roman" w:hAnsi="Bookman Old Style" w:cs="Times New Roman"/>
          <w:sz w:val="24"/>
          <w:szCs w:val="24"/>
        </w:rPr>
        <w:t>e</w:t>
      </w:r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>incinta</w:t>
      </w:r>
      <w:proofErr w:type="spellEnd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>Policlinicii</w:t>
      </w:r>
      <w:proofErr w:type="spellEnd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="00786BEB" w:rsidRPr="005116E8">
        <w:rPr>
          <w:rFonts w:ascii="Cambria" w:eastAsia="Times New Roman" w:hAnsi="Cambria" w:cs="Cambria"/>
          <w:sz w:val="24"/>
          <w:szCs w:val="24"/>
        </w:rPr>
        <w:t>ș</w:t>
      </w:r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>ul</w:t>
      </w:r>
      <w:proofErr w:type="spellEnd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>Păt</w:t>
      </w:r>
      <w:r w:rsidR="00786BEB" w:rsidRPr="005116E8">
        <w:rPr>
          <w:rFonts w:ascii="Bookman Old Style" w:eastAsia="Times New Roman" w:hAnsi="Bookman Old Style" w:cs="Bernard MT Condensed"/>
          <w:sz w:val="24"/>
          <w:szCs w:val="24"/>
        </w:rPr>
        <w:t>â</w:t>
      </w:r>
      <w:r w:rsidR="00266885" w:rsidRPr="005116E8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70FBD">
        <w:rPr>
          <w:rFonts w:ascii="Bookman Old Style" w:eastAsia="Times New Roman" w:hAnsi="Bookman Old Style" w:cs="Times New Roman"/>
          <w:sz w:val="24"/>
          <w:szCs w:val="24"/>
        </w:rPr>
        <w:t>scopul</w:t>
      </w:r>
      <w:proofErr w:type="spellEnd"/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>desfă</w:t>
      </w:r>
      <w:r w:rsidR="00F87600" w:rsidRPr="005116E8">
        <w:rPr>
          <w:rFonts w:ascii="Cambria" w:eastAsia="Times New Roman" w:hAnsi="Cambria" w:cs="Cambria"/>
          <w:sz w:val="24"/>
          <w:szCs w:val="24"/>
        </w:rPr>
        <w:t>ș</w:t>
      </w:r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>ur</w:t>
      </w:r>
      <w:r w:rsidR="00F87600" w:rsidRPr="005116E8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>rii</w:t>
      </w:r>
      <w:proofErr w:type="spellEnd"/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>activit</w:t>
      </w:r>
      <w:r w:rsidR="00F87600" w:rsidRPr="005116E8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F87600" w:rsidRPr="005116E8">
        <w:rPr>
          <w:rFonts w:ascii="Cambria" w:eastAsia="Times New Roman" w:hAnsi="Cambria" w:cs="Cambria"/>
          <w:sz w:val="24"/>
          <w:szCs w:val="24"/>
        </w:rPr>
        <w:t>ț</w:t>
      </w:r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>medicale</w:t>
      </w:r>
      <w:proofErr w:type="spellEnd"/>
      <w:r w:rsidR="00786BEB" w:rsidRPr="005116E8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F87600" w:rsidRPr="005116E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86BEB"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identificat</w:t>
      </w:r>
      <w:r w:rsidR="00751AB4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786BEB"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conform schiţei -  anexa nr.1</w:t>
      </w:r>
      <w:r w:rsidR="00F87223"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786BEB"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care face parte i</w:t>
      </w:r>
      <w:r w:rsidR="00D77288" w:rsidRPr="005116E8">
        <w:rPr>
          <w:rFonts w:ascii="Bookman Old Style" w:eastAsia="Times New Roman" w:hAnsi="Bookman Old Style" w:cs="Times New Roman"/>
          <w:sz w:val="24"/>
          <w:szCs w:val="24"/>
          <w:lang w:val="ro-RO"/>
        </w:rPr>
        <w:t>ntegrantă din prezenta hotărâre:</w:t>
      </w:r>
    </w:p>
    <w:p w14:paraId="61302B69" w14:textId="2838DADC" w:rsidR="00D77288" w:rsidRPr="00B70FBD" w:rsidRDefault="00D77288" w:rsidP="000E7E45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- 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cabinet medical  în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ă de </w:t>
      </w:r>
      <w:r w:rsidR="000E7E45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="00D00243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12, </w:t>
      </w:r>
      <w:r w:rsidR="00197D0B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21</w:t>
      </w:r>
      <w:r w:rsidR="008546D0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m.p</w:t>
      </w:r>
      <w:r w:rsidR="009878B8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;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643D3D8C" w14:textId="5D98569F" w:rsidR="00D00243" w:rsidRPr="00B70FBD" w:rsidRDefault="00D00243" w:rsidP="000E7E45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- cabinet medical în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8,28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m.p ;</w:t>
      </w:r>
    </w:p>
    <w:p w14:paraId="2AFEBDB7" w14:textId="078EC100" w:rsidR="00D00243" w:rsidRPr="00B70FBD" w:rsidRDefault="00D00243" w:rsidP="000E7E45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- cabinet medical în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 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13,98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m.p ;</w:t>
      </w:r>
    </w:p>
    <w:p w14:paraId="17E0A7A9" w14:textId="1CD9E7BE" w:rsidR="00D00243" w:rsidRPr="00B70FBD" w:rsidRDefault="00D00243" w:rsidP="000E7E45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 - spa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iu destinat grup sanitar  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 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1,12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m.p .</w:t>
      </w:r>
    </w:p>
    <w:p w14:paraId="4352AF59" w14:textId="051603CB" w:rsidR="00D00243" w:rsidRPr="00B70FBD" w:rsidRDefault="00B70FBD" w:rsidP="000E7E45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 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- spa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iu destinat grup sanitar  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 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1,49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m.p </w:t>
      </w:r>
    </w:p>
    <w:p w14:paraId="0FFE3BA8" w14:textId="34A059A4" w:rsidR="00A46184" w:rsidRPr="00B70FBD" w:rsidRDefault="008546D0" w:rsidP="00266885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  - 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ho</w:t>
      </w:r>
      <w:r w:rsidR="00B70FBD" w:rsidRPr="00B70FBD">
        <w:rPr>
          <w:rFonts w:ascii="Cambria" w:eastAsia="Times New Roman" w:hAnsi="Cambria" w:cs="Times New Roman"/>
          <w:color w:val="000000" w:themeColor="text1"/>
          <w:sz w:val="24"/>
          <w:szCs w:val="24"/>
          <w:lang w:val="ro-RO"/>
        </w:rPr>
        <w:t>l</w:t>
      </w:r>
      <w:r w:rsidR="000E7E45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="00D00243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 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11,47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m.p </w:t>
      </w:r>
      <w:r w:rsidR="000E7E45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.</w:t>
      </w:r>
    </w:p>
    <w:p w14:paraId="27434DB6" w14:textId="77777777" w:rsidR="000E7E45" w:rsidRPr="008546D0" w:rsidRDefault="000E7E45" w:rsidP="00266885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C090300" w14:textId="4BB112B1" w:rsidR="007051EC" w:rsidRDefault="007051EC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0747F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</w:t>
      </w:r>
      <w:r w:rsidR="00F8722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Studiul de oportunitate, conform anexei nr.2, care face parte integrantă  din prezenta hotarâre.</w:t>
      </w:r>
    </w:p>
    <w:p w14:paraId="6326FF6B" w14:textId="77777777" w:rsidR="00BA10A5" w:rsidRDefault="00BA10A5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0C50691" w14:textId="58A33411" w:rsidR="007051EC" w:rsidRDefault="0011368A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F8722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Art.3</w:t>
      </w:r>
      <w:r w:rsidR="007051E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 w:rsidR="007051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Caietul de sarcini  privind închirierea spaţiilor, conform anexei nr.3, care face parte integrantă din prezenta hotărâre.</w:t>
      </w:r>
    </w:p>
    <w:p w14:paraId="0811563B" w14:textId="1C25D80C" w:rsidR="000B5C5E" w:rsidRDefault="000B5C5E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2DE0A31" w14:textId="77777777" w:rsidR="000B5C5E" w:rsidRDefault="000B5C5E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5387017" w14:textId="77777777" w:rsidR="00BA10A5" w:rsidRDefault="00BA10A5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0268BE4" w14:textId="3F020E10" w:rsidR="00BA10A5" w:rsidRDefault="007051EC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F8722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Art.4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Termenul de închiriere va fi de  </w:t>
      </w:r>
      <w:r w:rsidR="000B5C5E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Pr="00266885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 </w:t>
      </w:r>
      <w:r w:rsidRPr="000747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ani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cu posibilitatea prelungirii  prin acordul părţilor.</w:t>
      </w:r>
    </w:p>
    <w:p w14:paraId="738FE453" w14:textId="77777777" w:rsidR="000B5C5E" w:rsidRDefault="000B5C5E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125C644" w14:textId="71DD65ED" w:rsidR="00BA10A5" w:rsidRDefault="007051EC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F8722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Art.5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Preţul de pornire la licitaţie va fi de  2 lei / m.p/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lună, conform Hotărârii Consiliului Local nr.</w:t>
      </w:r>
      <w:r w:rsid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>101 / 27.12.2023</w:t>
      </w:r>
      <w:r w:rsidR="004C5D1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7A235F4D" w14:textId="77777777" w:rsidR="00BA10A5" w:rsidRDefault="00BA10A5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1761F6A" w14:textId="3A0BFD4A" w:rsidR="00BA10A5" w:rsidRDefault="007051EC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F8722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Art.6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contractul de închiriere, conform anexei nr. 4 care face parte integrantă  din prezenta hotarâre.</w:t>
      </w:r>
    </w:p>
    <w:p w14:paraId="7900E482" w14:textId="77777777" w:rsidR="00BA10A5" w:rsidRDefault="00BA10A5" w:rsidP="0026688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C9F34C9" w14:textId="6F99DA8C" w:rsidR="000E7E45" w:rsidRDefault="007051EC" w:rsidP="007051E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11368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</w:t>
      </w:r>
      <w:r w:rsidR="00F8722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rt.7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Cu aducerea la îndeplinire a prezentei hotărâri  se însărcinează Primarul oraşului Pătârlagele  prin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>Compartimentul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>U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rbanism şi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chiziţii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ublice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6C154A"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 w:rsidR="006C154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C154A">
        <w:rPr>
          <w:rFonts w:ascii="Bookman Old Style" w:eastAsia="Times New Roman" w:hAnsi="Bookman Old Style" w:cs="Times New Roman"/>
          <w:sz w:val="24"/>
          <w:szCs w:val="24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</w:rPr>
        <w:t>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0DDFA489" w14:textId="77777777" w:rsidR="00BA10A5" w:rsidRDefault="00BA10A5" w:rsidP="007051E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14:paraId="62B8DC68" w14:textId="5402B47B" w:rsidR="007051EC" w:rsidRDefault="007051EC" w:rsidP="007051E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="00F87223">
        <w:rPr>
          <w:rFonts w:ascii="Bookman Old Style" w:eastAsia="Times New Roman" w:hAnsi="Bookman Old Style" w:cs="Times New Roman"/>
          <w:b/>
          <w:sz w:val="24"/>
          <w:szCs w:val="24"/>
        </w:rPr>
        <w:t>Art.8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cunoştinţă publică, respectiv se  comunică primarului oraşului Pătârlagele,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>Compartimentului U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rbanism  şi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chiziţii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>P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ublice,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Compartimentului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C154A">
        <w:rPr>
          <w:rFonts w:ascii="Bookman Old Style" w:eastAsia="Times New Roman" w:hAnsi="Bookman Old Style" w:cs="Times New Roman"/>
          <w:sz w:val="24"/>
          <w:szCs w:val="24"/>
          <w:lang w:val="ro-RO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ontabilitate, Instituţiei Prefectului  Judeţul  Buzău, în condiţiile şi termenele prevăzute de lege . </w:t>
      </w:r>
    </w:p>
    <w:p w14:paraId="68EC765E" w14:textId="77777777" w:rsidR="007051EC" w:rsidRDefault="007051EC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45AE8BF" w14:textId="77777777" w:rsidR="00B70FBD" w:rsidRDefault="00B70FBD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47F2051" w14:textId="77777777" w:rsidR="00B70FBD" w:rsidRDefault="00B70FBD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285E643" w14:textId="77777777" w:rsidR="007051EC" w:rsidRDefault="007051EC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5DF8AAD" w14:textId="5492E9F7" w:rsidR="007051EC" w:rsidRDefault="00197D0B" w:rsidP="007051EC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Nr. </w:t>
      </w:r>
    </w:p>
    <w:p w14:paraId="0F18ECB7" w14:textId="77777777" w:rsidR="00BA10A5" w:rsidRDefault="00BA10A5" w:rsidP="007051EC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BD81619" w14:textId="1A2D7765" w:rsidR="007051EC" w:rsidRDefault="007051EC" w:rsidP="007051E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</w:t>
      </w:r>
      <w:r w:rsidR="00A7345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A7345C">
        <w:rPr>
          <w:rFonts w:ascii="Cambria" w:eastAsia="Times New Roman" w:hAnsi="Cambria" w:cs="Times New Roman"/>
          <w:b/>
          <w:sz w:val="24"/>
          <w:szCs w:val="24"/>
          <w:lang w:val="ro-RO"/>
        </w:rPr>
        <w:t>țiator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</w:t>
      </w:r>
      <w:r w:rsidR="0026688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="00A7345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6C154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  <w:r w:rsidR="00A7345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6C154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="0026688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Avizat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29D62C2C" w14:textId="77777777" w:rsidR="00B70FBD" w:rsidRDefault="00B70FBD" w:rsidP="007051E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BD46B50" w14:textId="5D4A2AF1" w:rsidR="007051EC" w:rsidRDefault="0011368A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  <w:r w:rsidR="00A7345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7051E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</w:t>
      </w:r>
      <w:r w:rsidR="0026688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6C154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Secretar</w:t>
      </w:r>
      <w:r w:rsidR="0026688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 U.A.T</w:t>
      </w:r>
    </w:p>
    <w:p w14:paraId="1ED0B4F5" w14:textId="77777777" w:rsidR="00B70FBD" w:rsidRDefault="00B70FBD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F25B8AD" w14:textId="2162E523" w:rsidR="0011368A" w:rsidRDefault="00A7345C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Gherghiceanu Ion </w:t>
      </w:r>
    </w:p>
    <w:p w14:paraId="552A8BCE" w14:textId="77F2EE4F" w:rsidR="007051EC" w:rsidRPr="0011368A" w:rsidRDefault="0011368A" w:rsidP="007051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     </w:t>
      </w:r>
      <w:r w:rsidR="006C154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11368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</w:t>
      </w:r>
      <w:r w:rsidRPr="001136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</w:t>
      </w:r>
      <w:r w:rsidRPr="0011368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 </w:t>
      </w:r>
    </w:p>
    <w:p w14:paraId="5C423833" w14:textId="77777777" w:rsidR="00827708" w:rsidRDefault="00827708"/>
    <w:p w14:paraId="7372D89D" w14:textId="77777777" w:rsidR="00D2469F" w:rsidRDefault="00D2469F"/>
    <w:p w14:paraId="17ECE1F1" w14:textId="77777777" w:rsidR="00D2469F" w:rsidRDefault="00D2469F"/>
    <w:p w14:paraId="75A4AB65" w14:textId="77777777" w:rsidR="00D2469F" w:rsidRDefault="00D2469F"/>
    <w:p w14:paraId="49504185" w14:textId="77777777" w:rsidR="00D2469F" w:rsidRDefault="00D2469F"/>
    <w:p w14:paraId="26EE60A9" w14:textId="77777777" w:rsidR="00D2469F" w:rsidRDefault="00D2469F"/>
    <w:p w14:paraId="21FF08F7" w14:textId="2A8F8156" w:rsidR="00D2469F" w:rsidRDefault="00D2469F"/>
    <w:p w14:paraId="5E6181BA" w14:textId="5DBAB355" w:rsidR="008B286A" w:rsidRDefault="008B286A"/>
    <w:p w14:paraId="5E7E99E5" w14:textId="39E2D41D" w:rsidR="008B286A" w:rsidRDefault="008B286A"/>
    <w:p w14:paraId="4DF021EB" w14:textId="105215DB" w:rsidR="008B286A" w:rsidRDefault="008B286A"/>
    <w:p w14:paraId="381D3219" w14:textId="5317C41E" w:rsidR="008B286A" w:rsidRDefault="008B286A"/>
    <w:p w14:paraId="01274DAC" w14:textId="77777777" w:rsidR="00266885" w:rsidRDefault="00266885" w:rsidP="00D2469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DB75F5" w14:textId="7D4737D6" w:rsidR="00D2469F" w:rsidRPr="003C207E" w:rsidRDefault="00D2469F" w:rsidP="00D2469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 w:rsidRPr="003C207E">
        <w:rPr>
          <w:rFonts w:ascii="Bookman Old Style" w:eastAsia="Times New Roman" w:hAnsi="Bookman Old Style" w:cs="Times New Roman"/>
          <w:sz w:val="24"/>
          <w:szCs w:val="24"/>
          <w:lang w:val="ro-RO"/>
        </w:rPr>
        <w:t>JUDE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ŢUL BUZĂU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 xml:space="preserve">               Nr. </w:t>
      </w:r>
      <w:r w:rsidR="00B70FBD">
        <w:rPr>
          <w:rFonts w:ascii="Bookman Old Style" w:eastAsia="Times New Roman" w:hAnsi="Bookman Old Style" w:cs="Times New Roman"/>
          <w:sz w:val="24"/>
          <w:szCs w:val="24"/>
          <w:lang w:val="ro-RO"/>
        </w:rPr>
        <w:t>5110 / 14.06.2024</w:t>
      </w:r>
    </w:p>
    <w:p w14:paraId="0D4913DF" w14:textId="77777777" w:rsidR="00D2469F" w:rsidRPr="003C207E" w:rsidRDefault="00D2469F" w:rsidP="00D2469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C207E"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1D54E0" wp14:editId="074DDA3D">
                <wp:simplePos x="0" y="0"/>
                <wp:positionH relativeFrom="column">
                  <wp:posOffset>3279416</wp:posOffset>
                </wp:positionH>
                <wp:positionV relativeFrom="paragraph">
                  <wp:posOffset>77718</wp:posOffset>
                </wp:positionV>
                <wp:extent cx="3403158" cy="1017767"/>
                <wp:effectExtent l="0" t="0" r="2603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158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06DD" w14:textId="77777777" w:rsidR="00A04E3A" w:rsidRPr="00595E45" w:rsidRDefault="00A04E3A" w:rsidP="00D2469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1.- pentru agricultură şi economico-financiară</w:t>
                            </w:r>
                          </w:p>
                          <w:p w14:paraId="0BA628AD" w14:textId="77777777" w:rsidR="00A04E3A" w:rsidRPr="00595E45" w:rsidRDefault="00A04E3A" w:rsidP="00D2469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2.- pentru activităţi social-culturale, culte,  învăţământ,sănătate şi familie, muncă şi protecţie socială, protecţie copii, tineret şi sport</w:t>
                            </w:r>
                          </w:p>
                          <w:p w14:paraId="007326E7" w14:textId="77777777" w:rsidR="00A04E3A" w:rsidRPr="00595E45" w:rsidRDefault="00A04E3A" w:rsidP="00D2469F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3.-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juridică şi de disciplină</w:t>
                            </w:r>
                            <w:r w:rsidRPr="00595E45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amenajarea </w:t>
                            </w:r>
                          </w:p>
                          <w:p w14:paraId="5CA82C48" w14:textId="77777777" w:rsidR="00A04E3A" w:rsidRPr="00595E45" w:rsidRDefault="00A04E3A" w:rsidP="00D2469F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teritoriului  şi urbanism, protecţie mediu şi turism </w:t>
                            </w:r>
                          </w:p>
                          <w:p w14:paraId="3AB7A11F" w14:textId="77777777" w:rsidR="00A04E3A" w:rsidRPr="00F43CFD" w:rsidRDefault="00A04E3A" w:rsidP="00D2469F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1ACF4D5" w14:textId="77777777" w:rsidR="00A04E3A" w:rsidRPr="00F43CFD" w:rsidRDefault="00A04E3A" w:rsidP="00D2469F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D54E0" id="Rectangle 1" o:spid="_x0000_s1026" style="position:absolute;left:0;text-align:left;margin-left:258.2pt;margin-top:6.1pt;width:267.9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" o:allowincell="f" strokecolor="white">
                <v:textbox>
                  <w:txbxContent>
                    <w:p w14:paraId="50BA06DD" w14:textId="77777777" w:rsidR="00A04E3A" w:rsidRPr="00595E45" w:rsidRDefault="00A04E3A" w:rsidP="00D2469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1.- pentru agricultură şi economico-financiară</w:t>
                      </w:r>
                    </w:p>
                    <w:p w14:paraId="0BA628AD" w14:textId="77777777" w:rsidR="00A04E3A" w:rsidRPr="00595E45" w:rsidRDefault="00A04E3A" w:rsidP="00D2469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2.- pentru activităţi social-culturale, culte,  învăţământ,sănătate şi familie, muncă şi protecţie socială, protecţie copii, tineret şi sport</w:t>
                      </w:r>
                    </w:p>
                    <w:p w14:paraId="007326E7" w14:textId="77777777" w:rsidR="00A04E3A" w:rsidRPr="00595E45" w:rsidRDefault="00A04E3A" w:rsidP="00D2469F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3.-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juridică şi de disciplină</w:t>
                      </w:r>
                      <w:r w:rsidRPr="00595E45">
                        <w:rPr>
                          <w:rFonts w:ascii="Bookman Old Style" w:hAnsi="Bookman Old Style"/>
                        </w:rPr>
                        <w:t xml:space="preserve">, </w:t>
                      </w: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amenajarea </w:t>
                      </w:r>
                    </w:p>
                    <w:p w14:paraId="5CA82C48" w14:textId="77777777" w:rsidR="00A04E3A" w:rsidRPr="00595E45" w:rsidRDefault="00A04E3A" w:rsidP="00D2469F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  <w:lang w:val="ro-RO"/>
                        </w:rPr>
                      </w:pP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teritoriului  şi urbanism, protecţie mediu şi turism </w:t>
                      </w:r>
                    </w:p>
                    <w:p w14:paraId="3AB7A11F" w14:textId="77777777" w:rsidR="00A04E3A" w:rsidRPr="00F43CFD" w:rsidRDefault="00A04E3A" w:rsidP="00D2469F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14:paraId="31ACF4D5" w14:textId="77777777" w:rsidR="00A04E3A" w:rsidRPr="00F43CFD" w:rsidRDefault="00A04E3A" w:rsidP="00D2469F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3C207E">
        <w:rPr>
          <w:rFonts w:ascii="Bookman Old Style" w:eastAsia="Times New Roman" w:hAnsi="Bookman Old Style" w:cs="Times New Roman"/>
          <w:sz w:val="24"/>
          <w:szCs w:val="24"/>
          <w:lang w:val="ro-RO"/>
        </w:rPr>
        <w:t>ORAŞUL PĂTÂRLAGELE</w:t>
      </w:r>
    </w:p>
    <w:p w14:paraId="478C051D" w14:textId="77777777" w:rsidR="00D2469F" w:rsidRPr="003C207E" w:rsidRDefault="00D2469F" w:rsidP="00D2469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C207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---------------------</w:t>
      </w:r>
    </w:p>
    <w:p w14:paraId="61ACFEBA" w14:textId="77777777" w:rsidR="00D2469F" w:rsidRPr="003C207E" w:rsidRDefault="00D2469F" w:rsidP="00D2469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C207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PRIMAR  </w:t>
      </w:r>
    </w:p>
    <w:p w14:paraId="44B51391" w14:textId="77777777" w:rsidR="00D2469F" w:rsidRPr="003C207E" w:rsidRDefault="00D2469F" w:rsidP="00D2469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14:paraId="64D5DFE7" w14:textId="77777777" w:rsidR="00521717" w:rsidRDefault="00521717" w:rsidP="00D2469F">
      <w:pPr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14:paraId="7BFB8757" w14:textId="77777777" w:rsidR="00521717" w:rsidRDefault="00521717" w:rsidP="00D2469F"/>
    <w:p w14:paraId="7B84206B" w14:textId="77777777" w:rsidR="00D2469F" w:rsidRPr="009B2DD7" w:rsidRDefault="00521717" w:rsidP="00D2469F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REFERAT  DE  APROBARE</w:t>
      </w:r>
    </w:p>
    <w:p w14:paraId="0AB683C5" w14:textId="77777777" w:rsidR="006C154A" w:rsidRDefault="00521717" w:rsidP="006C15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proiect</w:t>
      </w:r>
      <w:proofErr w:type="spellEnd"/>
      <w:r w:rsidR="00D2469F" w:rsidRPr="009B2DD7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de </w:t>
      </w:r>
      <w:proofErr w:type="spellStart"/>
      <w:r w:rsidR="00D2469F" w:rsidRPr="009B2DD7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>hotărâre</w:t>
      </w:r>
      <w:proofErr w:type="spellEnd"/>
      <w:r w:rsidR="00D2469F" w:rsidRPr="009B2DD7"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  <w:t xml:space="preserve"> </w:t>
      </w:r>
      <w:proofErr w:type="gramStart"/>
      <w:r w:rsidR="00D2469F" w:rsidRPr="009B2DD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</w:t>
      </w:r>
      <w:r w:rsidR="006C154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scoaterea</w:t>
      </w:r>
      <w:proofErr w:type="gramEnd"/>
      <w:r w:rsidR="006C154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la licitaţie publică, în vederea  închirierii, unor spaţii situate în  incinta  Policlinicii  din oraşul Pătârlagele </w:t>
      </w:r>
    </w:p>
    <w:p w14:paraId="16E9D896" w14:textId="77777777" w:rsidR="006C154A" w:rsidRDefault="006C154A" w:rsidP="006C154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9FE9346" w14:textId="6A6B7CE4" w:rsidR="00D2469F" w:rsidRPr="009B2DD7" w:rsidRDefault="00D2469F" w:rsidP="006C154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9B2DD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26649EBA" w14:textId="77777777" w:rsidR="00D2469F" w:rsidRPr="009B2DD7" w:rsidRDefault="00D2469F" w:rsidP="00D246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2A052E" w14:textId="77777777" w:rsidR="00D2469F" w:rsidRPr="009B2DD7" w:rsidRDefault="00D2469F" w:rsidP="00D2469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B2DD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Domnilor consilieri şi delegaţi săteşti, </w:t>
      </w:r>
    </w:p>
    <w:p w14:paraId="5015BE14" w14:textId="77777777" w:rsidR="00D2469F" w:rsidRDefault="00D2469F" w:rsidP="00A04E3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B2DD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</w:p>
    <w:p w14:paraId="6D29F595" w14:textId="77777777" w:rsidR="00D2469F" w:rsidRPr="009B2DD7" w:rsidRDefault="00D2469F" w:rsidP="00D2469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DBF39AE" w14:textId="5D709507" w:rsidR="00266885" w:rsidRPr="00266885" w:rsidRDefault="00266885" w:rsidP="00266885">
      <w:pPr>
        <w:autoSpaceDE w:val="0"/>
        <w:spacing w:after="0"/>
        <w:jc w:val="both"/>
        <w:rPr>
          <w:rFonts w:ascii="Bookman Old Style" w:eastAsia="Calibri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/>
          <w:sz w:val="24"/>
          <w:szCs w:val="24"/>
        </w:rPr>
        <w:t>În</w:t>
      </w:r>
      <w:proofErr w:type="spellEnd"/>
      <w:r w:rsidRPr="00B874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/>
          <w:sz w:val="24"/>
          <w:szCs w:val="24"/>
        </w:rPr>
        <w:t>conformitate</w:t>
      </w:r>
      <w:proofErr w:type="spellEnd"/>
      <w:r w:rsidRPr="00B874C1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B874C1">
        <w:rPr>
          <w:rFonts w:ascii="Bookman Old Style" w:hAnsi="Bookman Old Style"/>
          <w:sz w:val="24"/>
          <w:szCs w:val="24"/>
        </w:rPr>
        <w:t>prevederile</w:t>
      </w:r>
      <w:proofErr w:type="spellEnd"/>
      <w:r w:rsidRPr="00B874C1">
        <w:rPr>
          <w:rFonts w:ascii="Bookman Old Style" w:hAnsi="Bookman Old Style"/>
          <w:sz w:val="24"/>
          <w:szCs w:val="24"/>
        </w:rPr>
        <w:t xml:space="preserve"> art. </w:t>
      </w:r>
      <w:r w:rsidRPr="00B874C1">
        <w:rPr>
          <w:rFonts w:ascii="Bookman Old Style" w:eastAsia="Calibri" w:hAnsi="Bookman Old Style" w:cs="Courier New"/>
          <w:color w:val="000000" w:themeColor="text1"/>
          <w:sz w:val="24"/>
          <w:szCs w:val="24"/>
        </w:rPr>
        <w:t>129</w:t>
      </w:r>
      <w:r w:rsidRPr="00B874C1">
        <w:rPr>
          <w:rFonts w:ascii="Bookman Old Style" w:eastAsia="Calibri" w:hAnsi="Bookman Old Style" w:cs="Courier New"/>
          <w:color w:val="0000FF"/>
          <w:sz w:val="24"/>
          <w:szCs w:val="24"/>
        </w:rPr>
        <w:t xml:space="preserve"> </w:t>
      </w:r>
      <w:r w:rsidRPr="00B874C1">
        <w:rPr>
          <w:rFonts w:ascii="Bookman Old Style" w:eastAsia="Calibri" w:hAnsi="Bookman Old Style" w:cs="Courier New"/>
          <w:sz w:val="24"/>
          <w:szCs w:val="24"/>
        </w:rPr>
        <w:t xml:space="preserve">din O.U.G  nr.57/2019 </w:t>
      </w:r>
      <w:proofErr w:type="spellStart"/>
      <w:r w:rsidRPr="00B874C1">
        <w:rPr>
          <w:rFonts w:ascii="Bookman Old Style" w:eastAsia="Calibri" w:hAnsi="Bookman Old Style" w:cs="Courier New"/>
          <w:sz w:val="24"/>
          <w:szCs w:val="24"/>
        </w:rPr>
        <w:t>privind</w:t>
      </w:r>
      <w:proofErr w:type="spellEnd"/>
      <w:r w:rsidRPr="00B874C1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eastAsia="Calibri" w:hAnsi="Bookman Old Style" w:cs="Courier New"/>
          <w:sz w:val="24"/>
          <w:szCs w:val="24"/>
        </w:rPr>
        <w:t>Codul</w:t>
      </w:r>
      <w:proofErr w:type="spellEnd"/>
      <w:r w:rsidRPr="00B874C1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eastAsia="Calibri" w:hAnsi="Bookman Old Style" w:cs="Courier New"/>
          <w:sz w:val="24"/>
          <w:szCs w:val="24"/>
        </w:rPr>
        <w:t>Administrativ</w:t>
      </w:r>
      <w:proofErr w:type="spellEnd"/>
      <w:r w:rsidRPr="00B874C1">
        <w:rPr>
          <w:rFonts w:ascii="Bookman Old Style" w:eastAsia="Calibri" w:hAnsi="Bookman Old Style" w:cs="Courier New"/>
          <w:sz w:val="24"/>
          <w:szCs w:val="24"/>
        </w:rPr>
        <w:t xml:space="preserve"> </w:t>
      </w:r>
      <w:r w:rsidRPr="00B874C1">
        <w:rPr>
          <w:rFonts w:ascii="Bookman Old Style" w:hAnsi="Bookman Old Style"/>
          <w:sz w:val="24"/>
          <w:szCs w:val="24"/>
          <w:lang w:val="ro-RO"/>
        </w:rPr>
        <w:t>”</w:t>
      </w:r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Consiliul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local are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iniţiativă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şi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hotărăşte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,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în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condiţiile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legii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,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în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toate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problemele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de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interes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local, cu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excepţia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celor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care sunt date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prin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lege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în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competenţa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altor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autorităţi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ale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administraţ</w:t>
      </w:r>
      <w:r w:rsidRPr="00B874C1">
        <w:rPr>
          <w:rFonts w:ascii="Bookman Old Style" w:eastAsia="Calibri" w:hAnsi="Bookman Old Style" w:cs="Courier New"/>
          <w:sz w:val="24"/>
          <w:szCs w:val="24"/>
        </w:rPr>
        <w:t>iei</w:t>
      </w:r>
      <w:proofErr w:type="spellEnd"/>
      <w:r w:rsidRPr="00B874C1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eastAsia="Calibri" w:hAnsi="Bookman Old Style" w:cs="Courier New"/>
          <w:sz w:val="24"/>
          <w:szCs w:val="24"/>
        </w:rPr>
        <w:t>publice</w:t>
      </w:r>
      <w:proofErr w:type="spellEnd"/>
      <w:r w:rsidRPr="00B874C1">
        <w:rPr>
          <w:rFonts w:ascii="Bookman Old Style" w:eastAsia="Calibri" w:hAnsi="Bookman Old Style" w:cs="Courier New"/>
          <w:sz w:val="24"/>
          <w:szCs w:val="24"/>
        </w:rPr>
        <w:t xml:space="preserve"> locale </w:t>
      </w:r>
      <w:proofErr w:type="spellStart"/>
      <w:r w:rsidRPr="00B874C1">
        <w:rPr>
          <w:rFonts w:ascii="Bookman Old Style" w:eastAsia="Calibri" w:hAnsi="Bookman Old Style" w:cs="Courier New"/>
          <w:sz w:val="24"/>
          <w:szCs w:val="24"/>
        </w:rPr>
        <w:t>sau</w:t>
      </w:r>
      <w:proofErr w:type="spellEnd"/>
      <w:r w:rsidRPr="00B874C1">
        <w:rPr>
          <w:rFonts w:ascii="Bookman Old Style" w:eastAsia="Calibri" w:hAnsi="Bookman Old Style" w:cs="Courier New"/>
          <w:sz w:val="24"/>
          <w:szCs w:val="24"/>
        </w:rPr>
        <w:t xml:space="preserve"> central</w:t>
      </w:r>
      <w:r w:rsidR="000B5C5E">
        <w:rPr>
          <w:rFonts w:ascii="Bookman Old Style" w:eastAsia="Calibri" w:hAnsi="Bookman Old Style" w:cs="Courier New"/>
          <w:sz w:val="24"/>
          <w:szCs w:val="24"/>
        </w:rPr>
        <w:t>e</w:t>
      </w:r>
      <w:r>
        <w:rPr>
          <w:rFonts w:ascii="Bookman Old Style" w:eastAsia="Calibri" w:hAnsi="Bookman Old Style" w:cs="Courier New"/>
          <w:sz w:val="24"/>
          <w:szCs w:val="24"/>
        </w:rPr>
        <w:t xml:space="preserve">, </w:t>
      </w:r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exercită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eastAsia="Calibri" w:hAnsi="Bookman Old Style" w:cs="Courier New"/>
          <w:sz w:val="24"/>
          <w:szCs w:val="24"/>
        </w:rPr>
        <w:t>atribuţii</w:t>
      </w:r>
      <w:proofErr w:type="spellEnd"/>
      <w:r w:rsidRPr="00B874C1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privind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administrarea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domeniului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public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şi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privat</w:t>
      </w:r>
      <w:proofErr w:type="spellEnd"/>
      <w:r w:rsidRPr="00F042BA">
        <w:rPr>
          <w:rFonts w:ascii="Bookman Old Style" w:eastAsia="Calibri" w:hAnsi="Bookman Old Style" w:cs="Courier New"/>
          <w:sz w:val="24"/>
          <w:szCs w:val="24"/>
        </w:rPr>
        <w:t xml:space="preserve"> al </w:t>
      </w:r>
      <w:proofErr w:type="spellStart"/>
      <w:r w:rsidRPr="00F042BA">
        <w:rPr>
          <w:rFonts w:ascii="Bookman Old Style" w:eastAsia="Calibri" w:hAnsi="Bookman Old Style" w:cs="Courier New"/>
          <w:sz w:val="24"/>
          <w:szCs w:val="24"/>
        </w:rPr>
        <w:t>oraşului</w:t>
      </w:r>
      <w:proofErr w:type="spellEnd"/>
      <w:r w:rsidR="000B5C5E">
        <w:rPr>
          <w:rFonts w:ascii="Bookman Old Style" w:eastAsia="Calibri" w:hAnsi="Bookman Old Style" w:cs="Courier New"/>
          <w:sz w:val="24"/>
          <w:szCs w:val="24"/>
        </w:rPr>
        <w:t>,</w:t>
      </w:r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hotărăşte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vânzarea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darea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administrare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concesionarea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darea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folosinţă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gratuită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închirierea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bunurilor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proprietate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privată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comunei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oraşului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B874C1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874C1">
        <w:rPr>
          <w:rFonts w:ascii="Bookman Old Style" w:hAnsi="Bookman Old Style" w:cs="Courier New"/>
          <w:sz w:val="24"/>
          <w:szCs w:val="24"/>
        </w:rPr>
        <w:t>municipiului</w:t>
      </w:r>
      <w:proofErr w:type="spellEnd"/>
      <w:r w:rsidR="00066DCA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066DCA">
        <w:rPr>
          <w:rFonts w:ascii="Bookman Old Style" w:hAnsi="Bookman Old Style" w:cs="Courier New"/>
          <w:sz w:val="24"/>
          <w:szCs w:val="24"/>
        </w:rPr>
        <w:t>după</w:t>
      </w:r>
      <w:proofErr w:type="spellEnd"/>
      <w:r w:rsidR="00066D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066DCA">
        <w:rPr>
          <w:rFonts w:ascii="Bookman Old Style" w:hAnsi="Bookman Old Style" w:cs="Courier New"/>
          <w:sz w:val="24"/>
          <w:szCs w:val="24"/>
        </w:rPr>
        <w:t>caz</w:t>
      </w:r>
      <w:proofErr w:type="spellEnd"/>
      <w:r w:rsidR="00066DCA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066DCA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066D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066DCA">
        <w:rPr>
          <w:rFonts w:ascii="Bookman Old Style" w:hAnsi="Bookman Old Style" w:cs="Courier New"/>
          <w:sz w:val="24"/>
          <w:szCs w:val="24"/>
        </w:rPr>
        <w:t>condiţiile</w:t>
      </w:r>
      <w:proofErr w:type="spellEnd"/>
      <w:r w:rsidR="00066DCA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066DCA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="00066DCA">
        <w:rPr>
          <w:rFonts w:ascii="Bookman Old Style" w:hAnsi="Bookman Old Style" w:cs="Courier New"/>
          <w:sz w:val="24"/>
          <w:szCs w:val="24"/>
        </w:rPr>
        <w:t>.</w:t>
      </w:r>
    </w:p>
    <w:p w14:paraId="2C14BF6C" w14:textId="4E40A9B6" w:rsidR="00066DCA" w:rsidRDefault="00D2469F" w:rsidP="00D7728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B2DD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0747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B5C5E">
        <w:rPr>
          <w:rFonts w:ascii="Bookman Old Style" w:eastAsia="Times New Roman" w:hAnsi="Bookman Old Style" w:cs="Times New Roman"/>
          <w:sz w:val="24"/>
          <w:szCs w:val="24"/>
          <w:lang w:val="ro-RO"/>
        </w:rPr>
        <w:t>Urmare a cererii d-</w:t>
      </w:r>
      <w:r w:rsidR="00197D0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lui Paul Costache – administrator </w:t>
      </w:r>
      <w:r w:rsidR="00BD24E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97D0B">
        <w:rPr>
          <w:rFonts w:ascii="Bookman Old Style" w:eastAsia="Times New Roman" w:hAnsi="Bookman Old Style" w:cs="Times New Roman"/>
          <w:sz w:val="24"/>
          <w:szCs w:val="24"/>
          <w:lang w:val="ro-RO"/>
        </w:rPr>
        <w:t>SC CENTRUL MEDICAL  MEDINVEST  SRL</w:t>
      </w:r>
      <w:r w:rsidR="000B5C5E">
        <w:rPr>
          <w:rFonts w:ascii="Bookman Old Style" w:eastAsia="Times New Roman" w:hAnsi="Bookman Old Style" w:cs="Times New Roman"/>
          <w:sz w:val="24"/>
          <w:szCs w:val="24"/>
          <w:lang w:val="ro-RO"/>
        </w:rPr>
        <w:t>, v</w:t>
      </w:r>
      <w:r w:rsidR="000747FF" w:rsidRPr="000747FF">
        <w:rPr>
          <w:rFonts w:ascii="Bookman Old Style" w:eastAsia="Times New Roman" w:hAnsi="Bookman Old Style" w:cs="Times New Roman"/>
          <w:sz w:val="24"/>
          <w:szCs w:val="24"/>
          <w:lang w:val="ro-RO"/>
        </w:rPr>
        <w:t>ă propunem scoaterea</w:t>
      </w:r>
      <w:r w:rsidRPr="000747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747FF" w:rsidRPr="000747FF">
        <w:rPr>
          <w:rFonts w:ascii="Bookman Old Style" w:eastAsia="Times New Roman" w:hAnsi="Bookman Old Style" w:cs="Times New Roman"/>
          <w:sz w:val="24"/>
          <w:szCs w:val="24"/>
          <w:lang w:val="ro-RO"/>
        </w:rPr>
        <w:t>la licita</w:t>
      </w:r>
      <w:r w:rsidR="000747FF" w:rsidRPr="000747FF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747FF" w:rsidRPr="000747FF">
        <w:rPr>
          <w:rFonts w:ascii="Bookman Old Style" w:eastAsia="Times New Roman" w:hAnsi="Bookman Old Style" w:cs="Times New Roman"/>
          <w:sz w:val="24"/>
          <w:szCs w:val="24"/>
          <w:lang w:val="ro-RO"/>
        </w:rPr>
        <w:t>ie, în vederea închirierii</w:t>
      </w:r>
      <w:r w:rsidR="000B5C5E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0747FF" w:rsidRPr="000747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următoarelor spa</w:t>
      </w:r>
      <w:r w:rsidR="000747FF" w:rsidRPr="000747FF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747FF" w:rsidRPr="000747F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ii  din  incinta Policlinicii , </w:t>
      </w:r>
      <w:r w:rsidR="00066DCA" w:rsidRPr="00066D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</w:t>
      </w:r>
      <w:r w:rsidR="00B70FBD">
        <w:rPr>
          <w:rFonts w:ascii="Bookman Old Style" w:eastAsia="Times New Roman" w:hAnsi="Bookman Old Style" w:cs="Times New Roman"/>
          <w:sz w:val="24"/>
          <w:szCs w:val="24"/>
          <w:lang w:val="ro-RO"/>
        </w:rPr>
        <w:t>scopul</w:t>
      </w:r>
      <w:r w:rsidR="00066DCA" w:rsidRPr="00066D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desfă</w:t>
      </w:r>
      <w:r w:rsidR="00066DCA" w:rsidRPr="00066DCA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066DCA" w:rsidRPr="00066DCA">
        <w:rPr>
          <w:rFonts w:ascii="Bookman Old Style" w:eastAsia="Times New Roman" w:hAnsi="Bookman Old Style" w:cs="Times New Roman"/>
          <w:sz w:val="24"/>
          <w:szCs w:val="24"/>
          <w:lang w:val="ro-RO"/>
        </w:rPr>
        <w:t>ur</w:t>
      </w:r>
      <w:r w:rsidR="00066DCA" w:rsidRPr="00066DCA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066DCA" w:rsidRPr="00066D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rii </w:t>
      </w:r>
      <w:r w:rsidR="000747FF" w:rsidRPr="00066D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activită</w:t>
      </w:r>
      <w:r w:rsidR="000747FF" w:rsidRPr="00066DCA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0747FF" w:rsidRPr="00066DCA">
        <w:rPr>
          <w:rFonts w:ascii="Bookman Old Style" w:eastAsia="Times New Roman" w:hAnsi="Bookman Old Style" w:cs="Times New Roman"/>
          <w:sz w:val="24"/>
          <w:szCs w:val="24"/>
          <w:lang w:val="ro-RO"/>
        </w:rPr>
        <w:t>i medicale</w:t>
      </w:r>
      <w:r w:rsidR="00066DCA">
        <w:rPr>
          <w:rFonts w:ascii="Bookman Old Style" w:eastAsia="Times New Roman" w:hAnsi="Bookman Old Style" w:cs="Times New Roman"/>
          <w:sz w:val="24"/>
          <w:szCs w:val="24"/>
          <w:lang w:val="ro-RO"/>
        </w:rPr>
        <w:t>:</w:t>
      </w:r>
    </w:p>
    <w:p w14:paraId="4D2D6A77" w14:textId="04D35280" w:rsidR="00B70FBD" w:rsidRPr="00B70FBD" w:rsidRDefault="00AF2D9A" w:rsidP="00B70FBD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0B5C5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="00B70FB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70FB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cabinet medical  în suprafa</w:t>
      </w:r>
      <w:r w:rsidR="00B70FBD"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="00B70FBD"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ă de  12, 21  m.p; </w:t>
      </w:r>
    </w:p>
    <w:p w14:paraId="625A27B4" w14:textId="3A109C04" w:rsidR="00B70FBD" w:rsidRPr="00B70FBD" w:rsidRDefault="00B70FBD" w:rsidP="00B70FBD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- cabinet medical în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8,28 m.p ;</w:t>
      </w:r>
    </w:p>
    <w:p w14:paraId="37B20161" w14:textId="2A3E230A" w:rsidR="00B70FBD" w:rsidRPr="00B70FBD" w:rsidRDefault="00B70FBD" w:rsidP="00B70FBD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- cabinet medical în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 13,98 m.p ;</w:t>
      </w:r>
    </w:p>
    <w:p w14:paraId="42EBA9AD" w14:textId="2CD30B74" w:rsidR="00B70FBD" w:rsidRPr="00B70FBD" w:rsidRDefault="00B70FBD" w:rsidP="00B70FBD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 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- spa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iu destinat grup sanitar  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 1,12 m.p .</w:t>
      </w:r>
    </w:p>
    <w:p w14:paraId="65D9179B" w14:textId="376B2C4B" w:rsidR="00B70FBD" w:rsidRPr="00B70FBD" w:rsidRDefault="00B70FBD" w:rsidP="00B70FBD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 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- spa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iu destinat grup sanitar  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 1,49 m.p </w:t>
      </w:r>
    </w:p>
    <w:p w14:paraId="0BCD12C4" w14:textId="55558E4B" w:rsidR="00B70FBD" w:rsidRPr="00B70FBD" w:rsidRDefault="00B70FBD" w:rsidP="00B70FBD">
      <w:pPr>
        <w:tabs>
          <w:tab w:val="left" w:pos="540"/>
          <w:tab w:val="left" w:pos="720"/>
        </w:tabs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  - ho</w:t>
      </w:r>
      <w:r w:rsidRPr="00B70FBD">
        <w:rPr>
          <w:rFonts w:ascii="Cambria" w:eastAsia="Times New Roman" w:hAnsi="Cambria" w:cs="Times New Roman"/>
          <w:color w:val="000000" w:themeColor="text1"/>
          <w:sz w:val="24"/>
          <w:szCs w:val="24"/>
          <w:lang w:val="ro-RO"/>
        </w:rPr>
        <w:t>l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 suprafa</w:t>
      </w:r>
      <w:r w:rsidRPr="00B70FBD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B70FBD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Pr="00B70FB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de  11,47 m.p .</w:t>
      </w:r>
    </w:p>
    <w:p w14:paraId="7906C73A" w14:textId="589D457D" w:rsidR="00D2469F" w:rsidRPr="009B2DD7" w:rsidRDefault="00D2469F" w:rsidP="00D2469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B2DD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Termenu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 de închiriere va fi de </w:t>
      </w:r>
      <w:r w:rsidR="000B5C5E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ani</w:t>
      </w:r>
      <w:r w:rsidRPr="009B2DD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posibilitatea prelungirii prin acordul părţilor  iar preţul de pornire la licitaţie va fi de 2 lei/m.p/lună.</w:t>
      </w:r>
    </w:p>
    <w:p w14:paraId="1415EF2A" w14:textId="77777777" w:rsidR="00D2469F" w:rsidRPr="009B2DD7" w:rsidRDefault="00D2469F" w:rsidP="00D2469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B2DD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Având în vedere cele prezentate vă rog să fiţi de acord cu prezentul proiect în forma prezentată.</w:t>
      </w:r>
    </w:p>
    <w:p w14:paraId="2884D1BC" w14:textId="77777777" w:rsidR="00D2469F" w:rsidRDefault="00D2469F" w:rsidP="00D2469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A6EEAF9" w14:textId="77777777" w:rsidR="000E7E45" w:rsidRDefault="000E7E45" w:rsidP="00D2469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C39057B" w14:textId="77777777" w:rsidR="00066DCA" w:rsidRPr="009B2DD7" w:rsidRDefault="00066DCA" w:rsidP="00D2469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2943446" w14:textId="77777777" w:rsidR="00D2469F" w:rsidRPr="0094116B" w:rsidRDefault="00066DCA" w:rsidP="00D2469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Primar</w:t>
      </w:r>
    </w:p>
    <w:p w14:paraId="5AA62D2E" w14:textId="77777777" w:rsidR="00D2469F" w:rsidRPr="0094116B" w:rsidRDefault="00D2469F" w:rsidP="00D2469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25A2E68" w14:textId="2EC76F1B" w:rsidR="000A626D" w:rsidRPr="000C4883" w:rsidRDefault="00D2469F" w:rsidP="000C4883">
      <w:pPr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 w:rsidRPr="0094116B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94116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16D1FFB5" w14:textId="114B7077" w:rsidR="000A626D" w:rsidRDefault="000A626D"/>
    <w:p w14:paraId="08D696E2" w14:textId="7CB29FDD" w:rsidR="000A626D" w:rsidRDefault="000A626D" w:rsidP="00BD24E6">
      <w:pPr>
        <w:tabs>
          <w:tab w:val="left" w:pos="4320"/>
        </w:tabs>
        <w:spacing w:after="0" w:line="240" w:lineRule="auto"/>
        <w:jc w:val="both"/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</w:t>
      </w:r>
    </w:p>
    <w:p w14:paraId="2A26E573" w14:textId="77777777" w:rsidR="000A626D" w:rsidRDefault="000A626D"/>
    <w:sectPr w:rsidR="000A626D" w:rsidSect="0011368A">
      <w:pgSz w:w="12240" w:h="15840"/>
      <w:pgMar w:top="144" w:right="562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03D2C"/>
    <w:multiLevelType w:val="hybridMultilevel"/>
    <w:tmpl w:val="0D7A7C62"/>
    <w:lvl w:ilvl="0" w:tplc="74AECC64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" w15:restartNumberingAfterBreak="0">
    <w:nsid w:val="109F4FE1"/>
    <w:multiLevelType w:val="hybridMultilevel"/>
    <w:tmpl w:val="D8224532"/>
    <w:lvl w:ilvl="0" w:tplc="74AECC64">
      <w:start w:val="1"/>
      <w:numFmt w:val="upperRoman"/>
      <w:lvlText w:val="%1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" w15:restartNumberingAfterBreak="0">
    <w:nsid w:val="1A752858"/>
    <w:multiLevelType w:val="hybridMultilevel"/>
    <w:tmpl w:val="CCE62FB6"/>
    <w:lvl w:ilvl="0" w:tplc="CD581D34">
      <w:start w:val="1"/>
      <w:numFmt w:val="decimal"/>
      <w:lvlText w:val="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1BC80CB5"/>
    <w:multiLevelType w:val="hybridMultilevel"/>
    <w:tmpl w:val="890053C0"/>
    <w:lvl w:ilvl="0" w:tplc="307ED9C8">
      <w:start w:val="2"/>
      <w:numFmt w:val="bullet"/>
      <w:lvlText w:val="-"/>
      <w:lvlJc w:val="left"/>
      <w:pPr>
        <w:tabs>
          <w:tab w:val="num" w:pos="1740"/>
        </w:tabs>
        <w:ind w:left="17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2B66565"/>
    <w:multiLevelType w:val="hybridMultilevel"/>
    <w:tmpl w:val="1E32C7DC"/>
    <w:lvl w:ilvl="0" w:tplc="FB1AA450">
      <w:start w:val="1"/>
      <w:numFmt w:val="decimal"/>
      <w:lvlText w:val="%1."/>
      <w:lvlJc w:val="left"/>
      <w:pPr>
        <w:ind w:left="162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3C72A34"/>
    <w:multiLevelType w:val="hybridMultilevel"/>
    <w:tmpl w:val="4F26DA06"/>
    <w:lvl w:ilvl="0" w:tplc="CD581D34">
      <w:start w:val="1"/>
      <w:numFmt w:val="decimal"/>
      <w:lvlText w:val="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4C966737"/>
    <w:multiLevelType w:val="hybridMultilevel"/>
    <w:tmpl w:val="292022F4"/>
    <w:lvl w:ilvl="0" w:tplc="AE28C68E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ascii="Book Antiqua" w:hAnsi="Book Antiqua" w:hint="default"/>
      </w:rPr>
    </w:lvl>
    <w:lvl w:ilvl="1" w:tplc="4AD07132">
      <w:start w:val="3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7" w15:restartNumberingAfterBreak="0">
    <w:nsid w:val="53FC3546"/>
    <w:multiLevelType w:val="hybridMultilevel"/>
    <w:tmpl w:val="42CA9DFC"/>
    <w:lvl w:ilvl="0" w:tplc="09D0B46C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7DD07EC"/>
    <w:multiLevelType w:val="hybridMultilevel"/>
    <w:tmpl w:val="B538DDA4"/>
    <w:lvl w:ilvl="0" w:tplc="C14E7EA2">
      <w:start w:val="1"/>
      <w:numFmt w:val="decimal"/>
      <w:lvlText w:val="%1)"/>
      <w:lvlJc w:val="left"/>
      <w:pPr>
        <w:ind w:left="15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5A665310"/>
    <w:multiLevelType w:val="hybridMultilevel"/>
    <w:tmpl w:val="32EC189A"/>
    <w:lvl w:ilvl="0" w:tplc="95DEFAE8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2175C4F"/>
    <w:multiLevelType w:val="hybridMultilevel"/>
    <w:tmpl w:val="BAFE18E4"/>
    <w:lvl w:ilvl="0" w:tplc="74AECC64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1" w15:restartNumberingAfterBreak="0">
    <w:nsid w:val="63627596"/>
    <w:multiLevelType w:val="hybridMultilevel"/>
    <w:tmpl w:val="CC1E3C74"/>
    <w:lvl w:ilvl="0" w:tplc="2696D5B0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6EE3395E"/>
    <w:multiLevelType w:val="hybridMultilevel"/>
    <w:tmpl w:val="A91C0C10"/>
    <w:lvl w:ilvl="0" w:tplc="C14E7EA2">
      <w:start w:val="1"/>
      <w:numFmt w:val="decimal"/>
      <w:lvlText w:val="%1)"/>
      <w:lvlJc w:val="left"/>
      <w:pPr>
        <w:ind w:left="15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73972B50"/>
    <w:multiLevelType w:val="hybridMultilevel"/>
    <w:tmpl w:val="81E6D346"/>
    <w:lvl w:ilvl="0" w:tplc="40CAE5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990">
    <w:abstractNumId w:val="0"/>
  </w:num>
  <w:num w:numId="2" w16cid:durableId="2012948674">
    <w:abstractNumId w:val="6"/>
  </w:num>
  <w:num w:numId="3" w16cid:durableId="1687093960">
    <w:abstractNumId w:val="3"/>
  </w:num>
  <w:num w:numId="4" w16cid:durableId="1855264012">
    <w:abstractNumId w:val="5"/>
  </w:num>
  <w:num w:numId="5" w16cid:durableId="84498079">
    <w:abstractNumId w:val="11"/>
  </w:num>
  <w:num w:numId="6" w16cid:durableId="1823812287">
    <w:abstractNumId w:val="2"/>
  </w:num>
  <w:num w:numId="7" w16cid:durableId="2113626496">
    <w:abstractNumId w:val="13"/>
  </w:num>
  <w:num w:numId="8" w16cid:durableId="1936673433">
    <w:abstractNumId w:val="12"/>
  </w:num>
  <w:num w:numId="9" w16cid:durableId="686059984">
    <w:abstractNumId w:val="9"/>
  </w:num>
  <w:num w:numId="10" w16cid:durableId="1960334106">
    <w:abstractNumId w:val="8"/>
  </w:num>
  <w:num w:numId="11" w16cid:durableId="538248948">
    <w:abstractNumId w:val="1"/>
  </w:num>
  <w:num w:numId="12" w16cid:durableId="2109814756">
    <w:abstractNumId w:val="7"/>
  </w:num>
  <w:num w:numId="13" w16cid:durableId="1232347343">
    <w:abstractNumId w:val="10"/>
  </w:num>
  <w:num w:numId="14" w16cid:durableId="904491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1EC"/>
    <w:rsid w:val="00044D2D"/>
    <w:rsid w:val="00047B9C"/>
    <w:rsid w:val="00066DCA"/>
    <w:rsid w:val="000747FF"/>
    <w:rsid w:val="000A626D"/>
    <w:rsid w:val="000B5C5E"/>
    <w:rsid w:val="000C2F9F"/>
    <w:rsid w:val="000C4883"/>
    <w:rsid w:val="000C58A8"/>
    <w:rsid w:val="000E7E45"/>
    <w:rsid w:val="0011368A"/>
    <w:rsid w:val="00131514"/>
    <w:rsid w:val="00197D0B"/>
    <w:rsid w:val="00197D48"/>
    <w:rsid w:val="00264858"/>
    <w:rsid w:val="00266885"/>
    <w:rsid w:val="0028545D"/>
    <w:rsid w:val="00286496"/>
    <w:rsid w:val="002B2377"/>
    <w:rsid w:val="002B3469"/>
    <w:rsid w:val="002D629F"/>
    <w:rsid w:val="002D6E59"/>
    <w:rsid w:val="00355F32"/>
    <w:rsid w:val="0037388B"/>
    <w:rsid w:val="00390645"/>
    <w:rsid w:val="003F1122"/>
    <w:rsid w:val="00431B5E"/>
    <w:rsid w:val="004A37E0"/>
    <w:rsid w:val="004C5D1F"/>
    <w:rsid w:val="005116E8"/>
    <w:rsid w:val="00521717"/>
    <w:rsid w:val="0055381F"/>
    <w:rsid w:val="005A0DCF"/>
    <w:rsid w:val="005B652A"/>
    <w:rsid w:val="006247BF"/>
    <w:rsid w:val="00686847"/>
    <w:rsid w:val="006A57ED"/>
    <w:rsid w:val="006C154A"/>
    <w:rsid w:val="007051EC"/>
    <w:rsid w:val="00713482"/>
    <w:rsid w:val="00751AB4"/>
    <w:rsid w:val="00783272"/>
    <w:rsid w:val="00786BEB"/>
    <w:rsid w:val="00816D48"/>
    <w:rsid w:val="00827708"/>
    <w:rsid w:val="008546D0"/>
    <w:rsid w:val="008B286A"/>
    <w:rsid w:val="008F3774"/>
    <w:rsid w:val="008F636F"/>
    <w:rsid w:val="00932B33"/>
    <w:rsid w:val="00961100"/>
    <w:rsid w:val="009878B8"/>
    <w:rsid w:val="00A04E3A"/>
    <w:rsid w:val="00A46184"/>
    <w:rsid w:val="00A64442"/>
    <w:rsid w:val="00A7345C"/>
    <w:rsid w:val="00AA2C86"/>
    <w:rsid w:val="00AD1C4C"/>
    <w:rsid w:val="00AE3D49"/>
    <w:rsid w:val="00AE65BC"/>
    <w:rsid w:val="00AF2D9A"/>
    <w:rsid w:val="00B177C1"/>
    <w:rsid w:val="00B33E3A"/>
    <w:rsid w:val="00B4632E"/>
    <w:rsid w:val="00B56429"/>
    <w:rsid w:val="00B62A87"/>
    <w:rsid w:val="00B70FBD"/>
    <w:rsid w:val="00BA10A5"/>
    <w:rsid w:val="00BD24E6"/>
    <w:rsid w:val="00C63806"/>
    <w:rsid w:val="00C70058"/>
    <w:rsid w:val="00C77090"/>
    <w:rsid w:val="00D00243"/>
    <w:rsid w:val="00D2469F"/>
    <w:rsid w:val="00D461BA"/>
    <w:rsid w:val="00D559C3"/>
    <w:rsid w:val="00D77288"/>
    <w:rsid w:val="00D82E78"/>
    <w:rsid w:val="00D87ACE"/>
    <w:rsid w:val="00D95C89"/>
    <w:rsid w:val="00E026B2"/>
    <w:rsid w:val="00E051F9"/>
    <w:rsid w:val="00E33F54"/>
    <w:rsid w:val="00E44BA7"/>
    <w:rsid w:val="00E46B6B"/>
    <w:rsid w:val="00E659F3"/>
    <w:rsid w:val="00F13748"/>
    <w:rsid w:val="00F24770"/>
    <w:rsid w:val="00F34CC5"/>
    <w:rsid w:val="00F40FBC"/>
    <w:rsid w:val="00F47CE3"/>
    <w:rsid w:val="00F646AB"/>
    <w:rsid w:val="00F87223"/>
    <w:rsid w:val="00F87600"/>
    <w:rsid w:val="00F916AE"/>
    <w:rsid w:val="00FB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FB22"/>
  <w15:docId w15:val="{F8522773-7AFA-429C-A01B-F5BFC999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979A-127B-4409-8E1B-609FD30B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Camelia</cp:lastModifiedBy>
  <cp:revision>75</cp:revision>
  <cp:lastPrinted>2024-06-14T06:40:00Z</cp:lastPrinted>
  <dcterms:created xsi:type="dcterms:W3CDTF">2017-07-20T07:22:00Z</dcterms:created>
  <dcterms:modified xsi:type="dcterms:W3CDTF">2024-06-14T06:42:00Z</dcterms:modified>
</cp:coreProperties>
</file>